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74C" w:rsidRPr="0093274C" w:rsidRDefault="009409E5" w:rsidP="0093274C">
      <w:pPr>
        <w:jc w:val="center"/>
        <w:rPr>
          <w:rFonts w:ascii="Helvetica" w:hAnsi="Helvetica"/>
          <w:b/>
          <w:sz w:val="36"/>
        </w:rPr>
      </w:pPr>
      <w:r w:rsidRPr="0093274C">
        <w:rPr>
          <w:rFonts w:ascii="Helvetica" w:hAnsi="Helvetica"/>
          <w:b/>
          <w:sz w:val="36"/>
        </w:rPr>
        <w:t>Transformed E&amp;M I materials</w:t>
      </w:r>
    </w:p>
    <w:p w:rsidR="0093274C" w:rsidRPr="0093274C" w:rsidRDefault="00C706AD" w:rsidP="0093274C">
      <w:pPr>
        <w:jc w:val="center"/>
        <w:rPr>
          <w:rFonts w:ascii="Helvetica" w:hAnsi="Helvetica"/>
          <w:b/>
          <w:sz w:val="36"/>
        </w:rPr>
      </w:pPr>
    </w:p>
    <w:p w:rsidR="0093274C" w:rsidRPr="0093274C" w:rsidRDefault="009409E5" w:rsidP="0093274C">
      <w:pPr>
        <w:jc w:val="center"/>
        <w:rPr>
          <w:rFonts w:ascii="Helvetica" w:hAnsi="Helvetica"/>
          <w:b/>
          <w:sz w:val="36"/>
          <w:lang w:eastAsia="zh-TW"/>
        </w:rPr>
      </w:pPr>
      <w:proofErr w:type="spellStart"/>
      <w:r w:rsidRPr="0093274C">
        <w:rPr>
          <w:rFonts w:ascii="Helvetica" w:hAnsi="Helvetica"/>
          <w:b/>
          <w:sz w:val="36"/>
        </w:rPr>
        <w:t>Biot-Savart</w:t>
      </w:r>
      <w:proofErr w:type="spellEnd"/>
      <w:r w:rsidRPr="0093274C">
        <w:rPr>
          <w:rFonts w:ascii="Helvetica" w:hAnsi="Helvetica"/>
          <w:b/>
          <w:sz w:val="36"/>
        </w:rPr>
        <w:t xml:space="preserve"> Law</w:t>
      </w:r>
    </w:p>
    <w:p w:rsidR="0093274C" w:rsidRPr="0093274C" w:rsidRDefault="009409E5" w:rsidP="0093274C">
      <w:pPr>
        <w:jc w:val="center"/>
        <w:rPr>
          <w:rFonts w:ascii="Helvetica" w:hAnsi="Helvetica"/>
          <w:b/>
          <w:sz w:val="32"/>
        </w:rPr>
      </w:pPr>
      <w:r w:rsidRPr="0093274C">
        <w:rPr>
          <w:rFonts w:ascii="Helvetica" w:hAnsi="Helvetica"/>
          <w:b/>
          <w:sz w:val="32"/>
        </w:rPr>
        <w:t>(Griffiths Chapter 5)</w:t>
      </w:r>
    </w:p>
    <w:p w:rsidR="0093274C" w:rsidRPr="0093274C" w:rsidRDefault="00C706AD" w:rsidP="0093274C">
      <w:pPr>
        <w:pBdr>
          <w:bottom w:val="single" w:sz="6" w:space="1" w:color="auto"/>
        </w:pBdr>
        <w:jc w:val="center"/>
        <w:rPr>
          <w:rFonts w:ascii="Helvetica" w:hAnsi="Helvetica"/>
          <w:b/>
          <w:sz w:val="32"/>
        </w:rPr>
      </w:pPr>
    </w:p>
    <w:p w:rsidR="0093274C" w:rsidRPr="0093274C" w:rsidRDefault="00C706AD" w:rsidP="0093274C">
      <w:pPr>
        <w:jc w:val="center"/>
        <w:rPr>
          <w:rFonts w:ascii="Helvetica" w:hAnsi="Helvetica"/>
          <w:b/>
          <w:sz w:val="32"/>
        </w:rPr>
      </w:pPr>
    </w:p>
    <w:p w:rsidR="0093274C" w:rsidRPr="0093274C" w:rsidRDefault="00C706AD" w:rsidP="0093274C">
      <w:pPr>
        <w:jc w:val="center"/>
        <w:rPr>
          <w:rFonts w:ascii="Helvetica" w:hAnsi="Helvetica"/>
          <w:b/>
          <w:sz w:val="36"/>
        </w:rPr>
      </w:pPr>
    </w:p>
    <w:p w:rsidR="0093274C" w:rsidRPr="0093274C" w:rsidRDefault="009409E5" w:rsidP="0093274C">
      <w:pPr>
        <w:jc w:val="center"/>
        <w:rPr>
          <w:rFonts w:ascii="Helvetica" w:hAnsi="Helvetica"/>
          <w:b/>
          <w:sz w:val="36"/>
          <w:u w:val="single"/>
        </w:rPr>
      </w:pPr>
      <w:r w:rsidRPr="0093274C">
        <w:rPr>
          <w:rFonts w:ascii="Helvetica" w:hAnsi="Helvetica"/>
          <w:b/>
          <w:sz w:val="36"/>
          <w:u w:val="single"/>
        </w:rPr>
        <w:t>TIMELINE</w:t>
      </w:r>
    </w:p>
    <w:p w:rsidR="0093274C" w:rsidRPr="0093274C" w:rsidRDefault="00C706AD" w:rsidP="0093274C">
      <w:pPr>
        <w:jc w:val="center"/>
        <w:rPr>
          <w:rFonts w:ascii="Helvetica" w:hAnsi="Helvetica"/>
          <w:b/>
          <w:sz w:val="32"/>
        </w:rPr>
      </w:pPr>
    </w:p>
    <w:p w:rsidR="0093274C" w:rsidRPr="0093274C" w:rsidRDefault="009409E5" w:rsidP="0093274C">
      <w:pPr>
        <w:rPr>
          <w:rFonts w:ascii="Helvetica" w:hAnsi="Helvetica"/>
        </w:rPr>
      </w:pPr>
      <w:r w:rsidRPr="0093274C">
        <w:rPr>
          <w:rFonts w:ascii="Helvetica" w:hAnsi="Helvetica"/>
        </w:rPr>
        <w:t xml:space="preserve">Prof A covers this in lectures 29.  </w:t>
      </w:r>
    </w:p>
    <w:p w:rsidR="0093274C" w:rsidRPr="0093274C" w:rsidRDefault="009409E5" w:rsidP="0093274C">
      <w:pPr>
        <w:rPr>
          <w:rFonts w:ascii="Helvetica" w:hAnsi="Helvetica"/>
        </w:rPr>
      </w:pPr>
      <w:r w:rsidRPr="0093274C">
        <w:rPr>
          <w:rFonts w:ascii="Helvetica" w:hAnsi="Helvetica"/>
        </w:rPr>
        <w:t xml:space="preserve">Prof B. covers this in lecture 27.   </w:t>
      </w:r>
    </w:p>
    <w:p w:rsidR="0093274C" w:rsidRPr="0093274C" w:rsidRDefault="009409E5" w:rsidP="0093274C">
      <w:pPr>
        <w:rPr>
          <w:rFonts w:ascii="Helvetica" w:hAnsi="Helvetica"/>
          <w:b/>
          <w:sz w:val="32"/>
        </w:rPr>
      </w:pPr>
      <w:r w:rsidRPr="0093274C">
        <w:rPr>
          <w:rFonts w:ascii="Helvetica" w:hAnsi="Helvetica"/>
        </w:rPr>
        <w:t>Transformed course covered in lectures 30-31.</w:t>
      </w:r>
    </w:p>
    <w:p w:rsidR="0093274C" w:rsidRPr="0093274C" w:rsidRDefault="00C706AD">
      <w:pPr>
        <w:pBdr>
          <w:bottom w:val="single" w:sz="6" w:space="1" w:color="auto"/>
        </w:pBdr>
        <w:rPr>
          <w:rFonts w:ascii="Helvetica" w:hAnsi="Helvetica"/>
        </w:rPr>
      </w:pPr>
    </w:p>
    <w:p w:rsidR="0093274C" w:rsidRPr="0093274C" w:rsidRDefault="00C706AD">
      <w:pPr>
        <w:rPr>
          <w:rFonts w:ascii="Helvetica" w:hAnsi="Helvetica"/>
        </w:rPr>
      </w:pPr>
    </w:p>
    <w:p w:rsidR="0093274C" w:rsidRPr="0093274C" w:rsidRDefault="00C706AD">
      <w:pPr>
        <w:rPr>
          <w:rFonts w:ascii="Helvetica" w:hAnsi="Helvetica"/>
        </w:rPr>
      </w:pPr>
    </w:p>
    <w:p w:rsidR="0093274C" w:rsidRPr="0093274C" w:rsidRDefault="009409E5" w:rsidP="0093274C">
      <w:pPr>
        <w:jc w:val="center"/>
        <w:rPr>
          <w:rFonts w:ascii="Helvetica" w:hAnsi="Helvetica"/>
          <w:b/>
          <w:sz w:val="36"/>
          <w:u w:val="single"/>
        </w:rPr>
      </w:pPr>
      <w:r w:rsidRPr="0093274C">
        <w:rPr>
          <w:rFonts w:ascii="Helvetica" w:hAnsi="Helvetica"/>
          <w:b/>
          <w:sz w:val="36"/>
          <w:u w:val="single"/>
        </w:rPr>
        <w:t>LEARNING GOALS</w:t>
      </w:r>
    </w:p>
    <w:p w:rsidR="0093274C" w:rsidRPr="0093274C" w:rsidRDefault="00C706AD">
      <w:pPr>
        <w:rPr>
          <w:rFonts w:ascii="Helvetica" w:hAnsi="Helvetica"/>
        </w:rPr>
      </w:pPr>
    </w:p>
    <w:p w:rsidR="0093274C" w:rsidRPr="0093274C" w:rsidRDefault="00C706AD" w:rsidP="0093274C">
      <w:pPr>
        <w:rPr>
          <w:rFonts w:ascii="Helvetica" w:hAnsi="Helvetica"/>
          <w:u w:val="single"/>
        </w:rPr>
      </w:pPr>
    </w:p>
    <w:p w:rsidR="0093274C" w:rsidRPr="0093274C" w:rsidRDefault="009409E5" w:rsidP="0093274C">
      <w:pPr>
        <w:numPr>
          <w:ilvl w:val="1"/>
          <w:numId w:val="8"/>
        </w:numPr>
        <w:rPr>
          <w:rFonts w:ascii="Helvetica" w:hAnsi="Helvetica"/>
        </w:rPr>
      </w:pPr>
      <w:r w:rsidRPr="0093274C">
        <w:rPr>
          <w:rFonts w:ascii="Helvetica" w:hAnsi="Helvetica"/>
        </w:rPr>
        <w:t xml:space="preserve">Students should be able to state when the </w:t>
      </w:r>
      <w:proofErr w:type="spellStart"/>
      <w:r w:rsidRPr="0093274C">
        <w:rPr>
          <w:rFonts w:ascii="Helvetica" w:hAnsi="Helvetica"/>
        </w:rPr>
        <w:t>Biot-Savart</w:t>
      </w:r>
      <w:proofErr w:type="spellEnd"/>
      <w:r w:rsidRPr="0093274C">
        <w:rPr>
          <w:rFonts w:ascii="Helvetica" w:hAnsi="Helvetica"/>
        </w:rPr>
        <w:t xml:space="preserve"> Law applies (magnetostatics; steady currents, </w:t>
      </w:r>
      <w:proofErr w:type="spellStart"/>
      <w:r w:rsidRPr="0093274C">
        <w:rPr>
          <w:rFonts w:ascii="Helvetica" w:hAnsi="Helvetica"/>
        </w:rPr>
        <w:t>dp</w:t>
      </w:r>
      <w:proofErr w:type="spellEnd"/>
      <w:r w:rsidRPr="0093274C">
        <w:rPr>
          <w:rFonts w:ascii="Helvetica" w:hAnsi="Helvetica"/>
        </w:rPr>
        <w:t>/</w:t>
      </w:r>
      <w:proofErr w:type="spellStart"/>
      <w:r w:rsidRPr="0093274C">
        <w:rPr>
          <w:rFonts w:ascii="Helvetica" w:hAnsi="Helvetica"/>
        </w:rPr>
        <w:t>dt</w:t>
      </w:r>
      <w:proofErr w:type="spellEnd"/>
      <w:r w:rsidRPr="0093274C">
        <w:rPr>
          <w:rFonts w:ascii="Helvetica" w:hAnsi="Helvetica"/>
        </w:rPr>
        <w:t>=0).</w:t>
      </w:r>
    </w:p>
    <w:p w:rsidR="0093274C" w:rsidRPr="0093274C" w:rsidRDefault="009409E5" w:rsidP="0093274C">
      <w:pPr>
        <w:numPr>
          <w:ilvl w:val="1"/>
          <w:numId w:val="8"/>
        </w:numPr>
        <w:rPr>
          <w:rFonts w:ascii="Helvetica" w:hAnsi="Helvetica"/>
        </w:rPr>
      </w:pPr>
      <w:r w:rsidRPr="0093274C">
        <w:rPr>
          <w:rFonts w:ascii="Helvetica" w:hAnsi="Helvetica"/>
        </w:rPr>
        <w:t xml:space="preserve">Students should be able to compare similarities and differences between the </w:t>
      </w:r>
      <w:proofErr w:type="spellStart"/>
      <w:r w:rsidRPr="0093274C">
        <w:rPr>
          <w:rFonts w:ascii="Helvetica" w:hAnsi="Helvetica"/>
        </w:rPr>
        <w:t>Biot-Savart</w:t>
      </w:r>
      <w:proofErr w:type="spellEnd"/>
      <w:r w:rsidRPr="0093274C">
        <w:rPr>
          <w:rFonts w:ascii="Helvetica" w:hAnsi="Helvetica"/>
        </w:rPr>
        <w:t xml:space="preserve"> law and Coulomb’s Law.</w:t>
      </w:r>
    </w:p>
    <w:p w:rsidR="0093274C" w:rsidRPr="0093274C" w:rsidRDefault="009409E5" w:rsidP="0093274C">
      <w:pPr>
        <w:numPr>
          <w:ilvl w:val="1"/>
          <w:numId w:val="8"/>
        </w:numPr>
        <w:rPr>
          <w:rFonts w:ascii="Helvetica" w:hAnsi="Helvetica"/>
        </w:rPr>
      </w:pPr>
      <w:r w:rsidRPr="0093274C">
        <w:rPr>
          <w:rFonts w:ascii="Helvetica" w:hAnsi="Helvetica"/>
        </w:rPr>
        <w:t xml:space="preserve">Students should be able to choose when to use </w:t>
      </w:r>
      <w:proofErr w:type="spellStart"/>
      <w:r w:rsidRPr="0093274C">
        <w:rPr>
          <w:rFonts w:ascii="Helvetica" w:hAnsi="Helvetica"/>
        </w:rPr>
        <w:t>Biot-Savart</w:t>
      </w:r>
      <w:proofErr w:type="spellEnd"/>
      <w:r w:rsidRPr="0093274C">
        <w:rPr>
          <w:rFonts w:ascii="Helvetica" w:hAnsi="Helvetica"/>
        </w:rPr>
        <w:t xml:space="preserve"> Law versus Ampere’s Law to calculate B fields, and to complete the calculation in simple cases.  </w:t>
      </w:r>
    </w:p>
    <w:p w:rsidR="0093274C" w:rsidRPr="0093274C" w:rsidRDefault="00C706AD" w:rsidP="0093274C">
      <w:pPr>
        <w:pBdr>
          <w:bottom w:val="single" w:sz="6" w:space="1" w:color="auto"/>
        </w:pBdr>
        <w:rPr>
          <w:rFonts w:ascii="Helvetica" w:hAnsi="Helvetica"/>
        </w:rPr>
      </w:pPr>
    </w:p>
    <w:p w:rsidR="0093274C" w:rsidRPr="0093274C" w:rsidRDefault="00C706AD" w:rsidP="0093274C">
      <w:pPr>
        <w:rPr>
          <w:rFonts w:ascii="Helvetica" w:hAnsi="Helvetica"/>
        </w:rPr>
      </w:pPr>
    </w:p>
    <w:p w:rsidR="0093274C" w:rsidRPr="0093274C" w:rsidRDefault="00C706AD" w:rsidP="0093274C">
      <w:pPr>
        <w:jc w:val="center"/>
        <w:rPr>
          <w:rFonts w:ascii="Helvetica" w:hAnsi="Helvetica"/>
          <w:b/>
          <w:sz w:val="28"/>
          <w:u w:val="single"/>
        </w:rPr>
      </w:pPr>
      <w:bookmarkStart w:id="0" w:name="_GoBack"/>
      <w:bookmarkEnd w:id="0"/>
    </w:p>
    <w:p w:rsidR="0093274C" w:rsidRPr="0093274C" w:rsidRDefault="009409E5" w:rsidP="0093274C">
      <w:pPr>
        <w:jc w:val="center"/>
        <w:rPr>
          <w:rFonts w:ascii="Helvetica" w:hAnsi="Helvetica"/>
          <w:b/>
          <w:sz w:val="36"/>
          <w:u w:val="single"/>
        </w:rPr>
      </w:pPr>
      <w:r w:rsidRPr="0093274C">
        <w:rPr>
          <w:rFonts w:ascii="Helvetica" w:hAnsi="Helvetica"/>
          <w:b/>
          <w:sz w:val="36"/>
          <w:u w:val="single"/>
        </w:rPr>
        <w:t>CLASS ACTIVITIES</w:t>
      </w:r>
    </w:p>
    <w:p w:rsidR="0093274C" w:rsidRPr="0093274C" w:rsidRDefault="00C706AD">
      <w:pPr>
        <w:rPr>
          <w:rFonts w:ascii="Helvetica" w:hAnsi="Helvetica"/>
        </w:rPr>
      </w:pPr>
    </w:p>
    <w:p w:rsidR="0093274C" w:rsidRPr="0093274C" w:rsidRDefault="009409E5" w:rsidP="0093274C">
      <w:pPr>
        <w:widowControl w:val="0"/>
        <w:autoSpaceDE w:val="0"/>
        <w:autoSpaceDN w:val="0"/>
        <w:adjustRightInd w:val="0"/>
        <w:rPr>
          <w:rFonts w:ascii="Helvetica" w:hAnsi="Helvetica"/>
          <w:b/>
          <w:color w:val="0000FF"/>
          <w:szCs w:val="20"/>
        </w:rPr>
      </w:pPr>
      <w:r w:rsidRPr="0093274C">
        <w:rPr>
          <w:rFonts w:ascii="Helvetica" w:hAnsi="Helvetica"/>
          <w:b/>
          <w:color w:val="0000FF"/>
          <w:szCs w:val="20"/>
        </w:rPr>
        <w:t>Discussion</w:t>
      </w:r>
    </w:p>
    <w:p w:rsidR="0093274C" w:rsidRPr="0093274C" w:rsidRDefault="009409E5" w:rsidP="0093274C">
      <w:pPr>
        <w:widowControl w:val="0"/>
        <w:autoSpaceDE w:val="0"/>
        <w:autoSpaceDN w:val="0"/>
        <w:adjustRightInd w:val="0"/>
        <w:rPr>
          <w:rFonts w:ascii="Helvetica" w:hAnsi="Helvetica"/>
          <w:b/>
          <w:color w:val="000000"/>
          <w:szCs w:val="20"/>
        </w:rPr>
      </w:pPr>
      <w:proofErr w:type="spellStart"/>
      <w:r w:rsidRPr="0093274C">
        <w:rPr>
          <w:rFonts w:ascii="Helvetica" w:hAnsi="Helvetica"/>
          <w:b/>
          <w:color w:val="000000"/>
          <w:szCs w:val="20"/>
        </w:rPr>
        <w:t>Biot-Savart</w:t>
      </w:r>
      <w:proofErr w:type="spellEnd"/>
    </w:p>
    <w:p w:rsidR="0093274C" w:rsidRPr="0093274C" w:rsidRDefault="009409E5" w:rsidP="0093274C">
      <w:pPr>
        <w:widowControl w:val="0"/>
        <w:autoSpaceDE w:val="0"/>
        <w:autoSpaceDN w:val="0"/>
        <w:adjustRightInd w:val="0"/>
        <w:rPr>
          <w:rFonts w:ascii="Helvetica" w:hAnsi="Helvetica"/>
          <w:color w:val="000000"/>
          <w:szCs w:val="20"/>
        </w:rPr>
      </w:pPr>
      <w:r w:rsidRPr="0093274C">
        <w:rPr>
          <w:rFonts w:ascii="Helvetica" w:hAnsi="Helvetica"/>
          <w:color w:val="000000"/>
          <w:szCs w:val="20"/>
        </w:rPr>
        <w:t xml:space="preserve">Had them "think like an 18th century physicist" to *come up* with </w:t>
      </w:r>
      <w:proofErr w:type="spellStart"/>
      <w:r w:rsidRPr="0093274C">
        <w:rPr>
          <w:rFonts w:ascii="Helvetica" w:hAnsi="Helvetica"/>
          <w:color w:val="000000"/>
          <w:szCs w:val="20"/>
        </w:rPr>
        <w:t>Biot-Savart</w:t>
      </w:r>
      <w:proofErr w:type="spellEnd"/>
      <w:r w:rsidRPr="0093274C">
        <w:rPr>
          <w:rFonts w:ascii="Helvetica" w:hAnsi="Helvetica"/>
          <w:color w:val="000000"/>
          <w:szCs w:val="20"/>
        </w:rPr>
        <w:t xml:space="preserve">.   </w:t>
      </w:r>
    </w:p>
    <w:p w:rsidR="0093274C" w:rsidRPr="0093274C" w:rsidRDefault="009409E5" w:rsidP="0093274C">
      <w:pPr>
        <w:widowControl w:val="0"/>
        <w:autoSpaceDE w:val="0"/>
        <w:autoSpaceDN w:val="0"/>
        <w:adjustRightInd w:val="0"/>
        <w:rPr>
          <w:rFonts w:ascii="Helvetica" w:hAnsi="Helvetica"/>
          <w:color w:val="000000"/>
          <w:szCs w:val="20"/>
        </w:rPr>
      </w:pPr>
      <w:r w:rsidRPr="0093274C">
        <w:rPr>
          <w:rFonts w:ascii="Helvetica" w:hAnsi="Helvetica"/>
          <w:color w:val="000000"/>
          <w:szCs w:val="20"/>
        </w:rPr>
        <w:t xml:space="preserve"> </w:t>
      </w:r>
    </w:p>
    <w:p w:rsidR="0093274C" w:rsidRPr="0093274C" w:rsidRDefault="009409E5" w:rsidP="0093274C">
      <w:pPr>
        <w:widowControl w:val="0"/>
        <w:autoSpaceDE w:val="0"/>
        <w:autoSpaceDN w:val="0"/>
        <w:adjustRightInd w:val="0"/>
        <w:rPr>
          <w:rFonts w:ascii="Helvetica" w:hAnsi="Helvetica"/>
          <w:b/>
          <w:color w:val="0000FF"/>
          <w:szCs w:val="20"/>
        </w:rPr>
      </w:pPr>
      <w:r w:rsidRPr="0093274C">
        <w:rPr>
          <w:rFonts w:ascii="Helvetica" w:hAnsi="Helvetica"/>
          <w:b/>
          <w:color w:val="0000FF"/>
          <w:szCs w:val="20"/>
        </w:rPr>
        <w:t>Demonstration</w:t>
      </w:r>
    </w:p>
    <w:p w:rsidR="0093274C" w:rsidRPr="0093274C" w:rsidRDefault="009409E5" w:rsidP="0093274C">
      <w:pPr>
        <w:widowControl w:val="0"/>
        <w:autoSpaceDE w:val="0"/>
        <w:autoSpaceDN w:val="0"/>
        <w:adjustRightInd w:val="0"/>
        <w:rPr>
          <w:rFonts w:ascii="Helvetica" w:hAnsi="Helvetica"/>
          <w:b/>
          <w:color w:val="000000"/>
          <w:szCs w:val="20"/>
        </w:rPr>
      </w:pPr>
      <w:r w:rsidRPr="0093274C">
        <w:rPr>
          <w:rFonts w:ascii="Helvetica" w:hAnsi="Helvetica"/>
          <w:b/>
          <w:color w:val="000000"/>
          <w:szCs w:val="20"/>
        </w:rPr>
        <w:t>Compass and dip angle</w:t>
      </w:r>
    </w:p>
    <w:p w:rsidR="0093274C" w:rsidRPr="0093274C" w:rsidRDefault="009409E5" w:rsidP="0093274C">
      <w:pPr>
        <w:widowControl w:val="0"/>
        <w:autoSpaceDE w:val="0"/>
        <w:autoSpaceDN w:val="0"/>
        <w:adjustRightInd w:val="0"/>
        <w:rPr>
          <w:rFonts w:ascii="Helvetica" w:hAnsi="Helvetica"/>
          <w:color w:val="000000"/>
          <w:szCs w:val="20"/>
        </w:rPr>
      </w:pPr>
      <w:proofErr w:type="gramStart"/>
      <w:r w:rsidRPr="0093274C">
        <w:rPr>
          <w:rFonts w:ascii="Helvetica" w:hAnsi="Helvetica"/>
          <w:color w:val="000000"/>
          <w:szCs w:val="20"/>
        </w:rPr>
        <w:t>Brought a dip-compass needle to see the dramatic dip angle in the room (and brief discussion of geo-magnetic field).</w:t>
      </w:r>
      <w:proofErr w:type="gramEnd"/>
      <w:r w:rsidRPr="0093274C">
        <w:rPr>
          <w:rFonts w:ascii="Helvetica" w:hAnsi="Helvetica"/>
          <w:color w:val="000000"/>
          <w:szCs w:val="20"/>
        </w:rPr>
        <w:t xml:space="preserve"> </w:t>
      </w:r>
    </w:p>
    <w:p w:rsidR="0093274C" w:rsidRPr="0093274C" w:rsidRDefault="00C706AD" w:rsidP="0093274C">
      <w:pPr>
        <w:rPr>
          <w:rFonts w:ascii="Helvetica" w:hAnsi="Helvetica"/>
        </w:rPr>
      </w:pPr>
    </w:p>
    <w:p w:rsidR="0093274C" w:rsidRPr="0093274C" w:rsidRDefault="009409E5" w:rsidP="0093274C">
      <w:pPr>
        <w:rPr>
          <w:rFonts w:ascii="Helvetica" w:hAnsi="Helvetica"/>
          <w:b/>
          <w:color w:val="0000FF"/>
        </w:rPr>
      </w:pPr>
      <w:r w:rsidRPr="0093274C">
        <w:rPr>
          <w:rFonts w:ascii="Helvetica" w:hAnsi="Helvetica"/>
          <w:b/>
          <w:color w:val="0000FF"/>
        </w:rPr>
        <w:t>Tutorials</w:t>
      </w:r>
    </w:p>
    <w:p w:rsidR="0093274C" w:rsidRPr="0093274C" w:rsidRDefault="009409E5" w:rsidP="0093274C">
      <w:pPr>
        <w:rPr>
          <w:rFonts w:ascii="Helvetica" w:hAnsi="Helvetica"/>
          <w:b/>
        </w:rPr>
      </w:pPr>
      <w:r w:rsidRPr="0093274C">
        <w:rPr>
          <w:rFonts w:ascii="Helvetica" w:hAnsi="Helvetica"/>
          <w:b/>
        </w:rPr>
        <w:t>Magnetic Field due to a Spinning Ring of Charge” activity</w:t>
      </w:r>
    </w:p>
    <w:p w:rsidR="0093274C" w:rsidRPr="0093274C" w:rsidRDefault="009409E5" w:rsidP="0093274C">
      <w:pPr>
        <w:rPr>
          <w:rFonts w:ascii="Helvetica" w:hAnsi="Helvetica"/>
          <w:b/>
          <w:i/>
        </w:rPr>
      </w:pPr>
      <w:r w:rsidRPr="0093274C">
        <w:rPr>
          <w:rFonts w:ascii="Helvetica" w:hAnsi="Helvetica"/>
          <w:b/>
          <w:i/>
        </w:rPr>
        <w:lastRenderedPageBreak/>
        <w:t>Oregon State University</w:t>
      </w:r>
    </w:p>
    <w:p w:rsidR="0093274C" w:rsidRPr="0093274C" w:rsidRDefault="009409E5" w:rsidP="0093274C">
      <w:pPr>
        <w:rPr>
          <w:rFonts w:ascii="Helvetica" w:hAnsi="Helvetica"/>
        </w:rPr>
      </w:pPr>
      <w:r w:rsidRPr="0093274C">
        <w:rPr>
          <w:rFonts w:ascii="Helvetica" w:hAnsi="Helvetica"/>
        </w:rPr>
        <w:t>Working in small groups students are asked to consider a ring with charge Q, and radius R rotating about its axis with period T and create an integral expression for the magnetic field caused by this ring everywhere in space.  Students also develop the power series expansion for the potential near the center or far from the ring.</w:t>
      </w:r>
    </w:p>
    <w:p w:rsidR="0093274C" w:rsidRPr="0093274C" w:rsidRDefault="00C706AD" w:rsidP="0093274C">
      <w:pPr>
        <w:rPr>
          <w:rFonts w:ascii="Helvetica" w:hAnsi="Helvetica"/>
        </w:rPr>
      </w:pPr>
    </w:p>
    <w:p w:rsidR="0093274C" w:rsidRPr="0093274C" w:rsidRDefault="009409E5" w:rsidP="0093274C">
      <w:pPr>
        <w:rPr>
          <w:rFonts w:ascii="Helvetica" w:hAnsi="Helvetica"/>
          <w:b/>
          <w:color w:val="0000FF"/>
        </w:rPr>
      </w:pPr>
      <w:r w:rsidRPr="0093274C">
        <w:rPr>
          <w:rFonts w:ascii="Helvetica" w:hAnsi="Helvetica"/>
          <w:b/>
          <w:color w:val="0000FF"/>
        </w:rPr>
        <w:t>Visualization</w:t>
      </w:r>
    </w:p>
    <w:p w:rsidR="0093274C" w:rsidRPr="0093274C" w:rsidRDefault="009409E5" w:rsidP="0093274C">
      <w:pPr>
        <w:rPr>
          <w:rFonts w:ascii="Helvetica" w:hAnsi="Helvetica"/>
          <w:b/>
        </w:rPr>
      </w:pPr>
      <w:r w:rsidRPr="0093274C">
        <w:rPr>
          <w:rFonts w:ascii="Helvetica" w:hAnsi="Helvetica"/>
          <w:b/>
        </w:rPr>
        <w:t>Stokes’ Theorem</w:t>
      </w:r>
    </w:p>
    <w:p w:rsidR="0093274C" w:rsidRPr="0093274C" w:rsidRDefault="00C706AD" w:rsidP="0093274C">
      <w:pPr>
        <w:widowControl w:val="0"/>
        <w:autoSpaceDE w:val="0"/>
        <w:autoSpaceDN w:val="0"/>
        <w:adjustRightInd w:val="0"/>
        <w:rPr>
          <w:rFonts w:ascii="Helvetica" w:hAnsi="Helvetica"/>
          <w:color w:val="000000"/>
          <w:szCs w:val="20"/>
        </w:rPr>
      </w:pPr>
      <w:hyperlink r:id="rId6" w:history="1">
        <w:r w:rsidR="009409E5" w:rsidRPr="0093274C">
          <w:rPr>
            <w:rStyle w:val="Hyperlink"/>
            <w:rFonts w:ascii="Helvetica" w:hAnsi="Helvetica"/>
          </w:rPr>
          <w:t>http://www.math.umn.edu/~nykamp/m2374/readings/stokesidea/</w:t>
        </w:r>
      </w:hyperlink>
    </w:p>
    <w:p w:rsidR="0093274C" w:rsidRPr="0093274C" w:rsidRDefault="00C706AD" w:rsidP="0093274C">
      <w:pPr>
        <w:widowControl w:val="0"/>
        <w:autoSpaceDE w:val="0"/>
        <w:autoSpaceDN w:val="0"/>
        <w:adjustRightInd w:val="0"/>
        <w:rPr>
          <w:rFonts w:ascii="Helvetica" w:hAnsi="Helvetica"/>
        </w:rPr>
      </w:pPr>
    </w:p>
    <w:sectPr w:rsidR="0093274C" w:rsidRPr="0093274C" w:rsidSect="0093274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F75F3"/>
    <w:multiLevelType w:val="hybridMultilevel"/>
    <w:tmpl w:val="91226D2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02EA7E06"/>
    <w:multiLevelType w:val="hybridMultilevel"/>
    <w:tmpl w:val="EC32EEAE"/>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099838BB"/>
    <w:multiLevelType w:val="hybridMultilevel"/>
    <w:tmpl w:val="19C87EA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10276428"/>
    <w:multiLevelType w:val="hybridMultilevel"/>
    <w:tmpl w:val="17D47ED2"/>
    <w:lvl w:ilvl="0" w:tplc="000F0409">
      <w:start w:val="1"/>
      <w:numFmt w:val="decimal"/>
      <w:lvlText w:val="%1."/>
      <w:lvlJc w:val="left"/>
      <w:pPr>
        <w:tabs>
          <w:tab w:val="num" w:pos="360"/>
        </w:tabs>
        <w:ind w:left="360" w:hanging="360"/>
      </w:pPr>
      <w:rPr>
        <w:rFonts w:hint="default"/>
      </w:rPr>
    </w:lvl>
    <w:lvl w:ilvl="1" w:tplc="00010409">
      <w:start w:val="1"/>
      <w:numFmt w:val="bullet"/>
      <w:lvlText w:val=""/>
      <w:lvlJc w:val="left"/>
      <w:pPr>
        <w:tabs>
          <w:tab w:val="num" w:pos="1080"/>
        </w:tabs>
        <w:ind w:left="1080" w:hanging="360"/>
      </w:pPr>
      <w:rPr>
        <w:rFonts w:ascii="Symbol" w:hAnsi="Symbol" w:hint="default"/>
      </w:rPr>
    </w:lvl>
    <w:lvl w:ilvl="2" w:tplc="00050409" w:tentative="1">
      <w:start w:val="1"/>
      <w:numFmt w:val="bullet"/>
      <w:lvlText w:val=""/>
      <w:lvlJc w:val="left"/>
      <w:pPr>
        <w:tabs>
          <w:tab w:val="num" w:pos="1800"/>
        </w:tabs>
        <w:ind w:left="1800" w:hanging="360"/>
      </w:pPr>
      <w:rPr>
        <w:rFonts w:ascii="Symbol" w:hAnsi="Symbol"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Symbol" w:hAnsi="Symbol"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Symbol" w:hAnsi="Symbol" w:hint="default"/>
      </w:rPr>
    </w:lvl>
  </w:abstractNum>
  <w:abstractNum w:abstractNumId="4">
    <w:nsid w:val="3AF03850"/>
    <w:multiLevelType w:val="hybridMultilevel"/>
    <w:tmpl w:val="024C9D1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45701946"/>
    <w:multiLevelType w:val="hybridMultilevel"/>
    <w:tmpl w:val="ADDA0F98"/>
    <w:lvl w:ilvl="0" w:tplc="000F0409">
      <w:start w:val="1"/>
      <w:numFmt w:val="decimal"/>
      <w:lvlText w:val="%1."/>
      <w:lvlJc w:val="left"/>
      <w:pPr>
        <w:tabs>
          <w:tab w:val="num" w:pos="720"/>
        </w:tabs>
        <w:ind w:left="720" w:hanging="360"/>
      </w:pPr>
    </w:lvl>
    <w:lvl w:ilvl="1" w:tplc="000F0409">
      <w:start w:val="1"/>
      <w:numFmt w:val="decimal"/>
      <w:lvlText w:val="%2."/>
      <w:lvlJc w:val="left"/>
      <w:pPr>
        <w:tabs>
          <w:tab w:val="num" w:pos="720"/>
        </w:tabs>
        <w:ind w:left="72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nsid w:val="59A254A1"/>
    <w:multiLevelType w:val="hybridMultilevel"/>
    <w:tmpl w:val="82964D7E"/>
    <w:lvl w:ilvl="0" w:tplc="000F0409">
      <w:start w:val="1"/>
      <w:numFmt w:val="decimal"/>
      <w:lvlText w:val="%1."/>
      <w:lvlJc w:val="left"/>
      <w:pPr>
        <w:tabs>
          <w:tab w:val="num" w:pos="720"/>
        </w:tabs>
        <w:ind w:left="720" w:hanging="360"/>
      </w:pPr>
      <w:rPr>
        <w:rFonts w:hint="default"/>
      </w:rPr>
    </w:lvl>
    <w:lvl w:ilvl="1" w:tplc="00010409">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7">
    <w:nsid w:val="5E553A33"/>
    <w:multiLevelType w:val="hybridMultilevel"/>
    <w:tmpl w:val="CC267B8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67167104"/>
    <w:multiLevelType w:val="hybridMultilevel"/>
    <w:tmpl w:val="912A7F46"/>
    <w:lvl w:ilvl="0" w:tplc="DBD229E0">
      <w:start w:val="2005"/>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7"/>
  </w:num>
  <w:num w:numId="3">
    <w:abstractNumId w:val="0"/>
  </w:num>
  <w:num w:numId="4">
    <w:abstractNumId w:val="1"/>
  </w:num>
  <w:num w:numId="5">
    <w:abstractNumId w:val="6"/>
  </w:num>
  <w:num w:numId="6">
    <w:abstractNumId w:val="2"/>
  </w:num>
  <w:num w:numId="7">
    <w:abstractNumId w:val="4"/>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19E"/>
    <w:rsid w:val="0013619E"/>
    <w:rsid w:val="009409E5"/>
    <w:rsid w:val="00C70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42A9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42A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th.umn.edu/~nykamp/m2374/readings/stokeside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219</Words>
  <Characters>1252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Transformed E&amp;M I materials</vt:lpstr>
    </vt:vector>
  </TitlesOfParts>
  <Company>CU Boulder</Company>
  <LinksUpToDate>false</LinksUpToDate>
  <CharactersWithSpaces>1469</CharactersWithSpaces>
  <SharedDoc>false</SharedDoc>
  <HLinks>
    <vt:vector size="6" baseType="variant">
      <vt:variant>
        <vt:i4>7667775</vt:i4>
      </vt:variant>
      <vt:variant>
        <vt:i4>0</vt:i4>
      </vt:variant>
      <vt:variant>
        <vt:i4>0</vt:i4>
      </vt:variant>
      <vt:variant>
        <vt:i4>5</vt:i4>
      </vt:variant>
      <vt:variant>
        <vt:lpwstr>http://www.math.umn.edu/~nykamp/m2374/readings/stokesidea/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Transformed E&amp;M I materials</dc:title>
  <dc:subject/>
  <dc:creator>Stephanie Chasteen</dc:creator>
  <cp:keywords/>
  <cp:lastModifiedBy>Bethany Wilcox</cp:lastModifiedBy>
  <cp:revision>3</cp:revision>
  <dcterms:created xsi:type="dcterms:W3CDTF">2012-08-07T18:59:00Z</dcterms:created>
  <dcterms:modified xsi:type="dcterms:W3CDTF">2012-08-07T19:00:00Z</dcterms:modified>
</cp:coreProperties>
</file>